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2268"/>
        <w:gridCol w:w="2670"/>
      </w:tblGrid>
      <w:tr w:rsidR="00A40630" w:rsidRPr="003A12DA" w14:paraId="447F9888" w14:textId="77777777" w:rsidTr="00756AD8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0CAA1CDC" w14:textId="2F465FEB" w:rsidR="00A40630" w:rsidRPr="004E49EB" w:rsidRDefault="00B024B9" w:rsidP="00756AD8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</w:rPr>
              <w:t>Bead Woggles</w:t>
            </w:r>
            <w:r w:rsidR="00B41BD1">
              <w:rPr>
                <w:rFonts w:ascii="Nunito Sans" w:hAnsi="Nunito Sans"/>
                <w:b/>
                <w:color w:val="365F91" w:themeColor="accent1" w:themeShade="BF"/>
              </w:rPr>
              <w:t>/Hama Beads creations</w:t>
            </w: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73BF0" w14:textId="3A965983" w:rsidR="00A40630" w:rsidRPr="004E49EB" w:rsidRDefault="00B024B9" w:rsidP="00756AD8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B024B9">
              <w:rPr>
                <w:rFonts w:ascii="Nunito Sans" w:hAnsi="Nunito Sans"/>
                <w:b/>
                <w:color w:val="365F91" w:themeColor="accent1" w:themeShade="BF"/>
              </w:rPr>
              <w:t>September 2024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E6D69A" w14:textId="40518A54" w:rsidR="00A40630" w:rsidRPr="004E49EB" w:rsidRDefault="00B024B9" w:rsidP="00756AD8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</w:rPr>
              <w:t>Next time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CC3A50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689F5B54" w14:textId="445493E6" w:rsidR="00A40630" w:rsidRPr="00A40630" w:rsidRDefault="00B024B9" w:rsidP="00756AD8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215"/>
        <w:gridCol w:w="2840"/>
      </w:tblGrid>
      <w:tr w:rsidR="00A40630" w:rsidRPr="003A12DA" w14:paraId="0C78A695" w14:textId="77777777" w:rsidTr="00692A58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215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122375">
        <w:trPr>
          <w:trHeight w:val="1120"/>
        </w:trPr>
        <w:tc>
          <w:tcPr>
            <w:tcW w:w="2840" w:type="dxa"/>
            <w:shd w:val="clear" w:color="auto" w:fill="auto"/>
          </w:tcPr>
          <w:p w14:paraId="0B9B67AA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A hazard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something that may cause harm or damage.</w:t>
            </w:r>
          </w:p>
          <w:p w14:paraId="63E4ADD0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The risk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the harm that may occur from the hazard.</w:t>
            </w:r>
          </w:p>
          <w:p w14:paraId="56ECE239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example: young people,</w:t>
            </w:r>
          </w:p>
          <w:p w14:paraId="5FE14F2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leaders, </w:t>
            </w:r>
          </w:p>
          <w:p w14:paraId="61A705F4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visitors</w:t>
            </w:r>
          </w:p>
        </w:tc>
        <w:tc>
          <w:tcPr>
            <w:tcW w:w="8215" w:type="dxa"/>
            <w:shd w:val="clear" w:color="auto" w:fill="auto"/>
          </w:tcPr>
          <w:p w14:paraId="5F9C399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Controls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122375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122375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Keep </w:t>
            </w:r>
            <w:r w:rsidRPr="00122375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checking</w:t>
            </w:r>
            <w:r w:rsidRPr="00122375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throughout the activity in case you need to change what you’re doing or even </w:t>
            </w:r>
            <w:r w:rsidRPr="00122375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stop</w:t>
            </w:r>
            <w:r w:rsidRPr="00122375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the activity. </w:t>
            </w:r>
          </w:p>
          <w:p w14:paraId="19FA52E5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122375">
              <w:rPr>
                <w:rFonts w:ascii="Nunito Sans" w:hAnsi="Nunito Sans"/>
                <w:color w:val="000000" w:themeColor="text1"/>
                <w:sz w:val="16"/>
                <w:szCs w:val="16"/>
              </w:rPr>
              <w:t>This is a great place to add comments which will be used as part of the review.</w:t>
            </w:r>
          </w:p>
        </w:tc>
      </w:tr>
      <w:tr w:rsidR="00163423" w:rsidRPr="003A12DA" w14:paraId="573DE9FA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C57B539" w14:textId="23413FE5" w:rsidR="00163423" w:rsidRDefault="002C3A5F" w:rsidP="00B024B9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 w:rsidRPr="0004327D">
              <w:rPr>
                <w:rFonts w:ascii="Nunito Sans" w:hAnsi="Nunito Sans"/>
                <w:b/>
                <w:color w:val="auto"/>
                <w:sz w:val="18"/>
                <w:szCs w:val="18"/>
              </w:rPr>
              <w:t>Hazard:</w:t>
            </w: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 xml:space="preserve"> </w:t>
            </w:r>
            <w:r w:rsidR="00B024B9">
              <w:rPr>
                <w:rFonts w:ascii="Nunito Sans" w:hAnsi="Nunito Sans"/>
                <w:bCs/>
                <w:color w:val="auto"/>
                <w:sz w:val="18"/>
                <w:szCs w:val="18"/>
              </w:rPr>
              <w:t>Beads</w:t>
            </w:r>
          </w:p>
          <w:p w14:paraId="5AD7DE87" w14:textId="46245120" w:rsidR="002C3A5F" w:rsidRPr="002C3A5F" w:rsidRDefault="002C3A5F" w:rsidP="00B024B9">
            <w:pPr>
              <w:rPr>
                <w:rFonts w:ascii="Nunito Sans" w:hAnsi="Nunito Sans"/>
                <w:b/>
                <w:color w:val="auto"/>
                <w:sz w:val="18"/>
                <w:szCs w:val="18"/>
              </w:rPr>
            </w:pPr>
            <w:r w:rsidRPr="002C3A5F">
              <w:rPr>
                <w:rFonts w:ascii="Nunito Sans" w:hAnsi="Nunito Sans"/>
                <w:b/>
                <w:color w:val="auto"/>
                <w:sz w:val="18"/>
                <w:szCs w:val="18"/>
              </w:rPr>
              <w:t>Risk:</w:t>
            </w:r>
            <w:r>
              <w:rPr>
                <w:rFonts w:ascii="Nunito Sans" w:hAnsi="Nunito Sans"/>
                <w:b/>
                <w:color w:val="auto"/>
                <w:sz w:val="18"/>
                <w:szCs w:val="18"/>
              </w:rPr>
              <w:t xml:space="preserve"> </w:t>
            </w:r>
            <w:r w:rsidR="0004479F">
              <w:rPr>
                <w:rFonts w:ascii="Nunito Sans" w:hAnsi="Nunito Sans"/>
                <w:b/>
                <w:color w:val="auto"/>
                <w:sz w:val="18"/>
                <w:szCs w:val="18"/>
              </w:rPr>
              <w:t xml:space="preserve"> </w:t>
            </w:r>
            <w:r w:rsidR="00B024B9" w:rsidRPr="00B024B9">
              <w:rPr>
                <w:rFonts w:ascii="Nunito Sans" w:hAnsi="Nunito Sans"/>
                <w:bCs/>
                <w:color w:val="auto"/>
                <w:sz w:val="18"/>
                <w:szCs w:val="18"/>
              </w:rPr>
              <w:t>Choking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80CF90" w14:textId="07C7C971" w:rsidR="00163423" w:rsidRPr="0004327D" w:rsidRDefault="00B024B9" w:rsidP="00B024B9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>
              <w:rPr>
                <w:rFonts w:ascii="Nunito Sans Normal" w:hAnsi="Nunito Sans Normal"/>
                <w:color w:val="auto"/>
                <w:sz w:val="18"/>
                <w:szCs w:val="18"/>
              </w:rPr>
              <w:t>Young people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53F35144" w14:textId="39D1DE0B" w:rsidR="00381175" w:rsidRPr="00B024B9" w:rsidRDefault="00B024B9" w:rsidP="00B024B9">
            <w:pPr>
              <w:ind w:left="27"/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 w:rsidRPr="00B024B9">
              <w:rPr>
                <w:rFonts w:ascii="Nunito Sans Normal" w:hAnsi="Nunito Sans Normal"/>
                <w:color w:val="auto"/>
                <w:sz w:val="18"/>
                <w:szCs w:val="18"/>
              </w:rPr>
              <w:t>Supervision of young people</w:t>
            </w:r>
          </w:p>
          <w:p w14:paraId="36A79E15" w14:textId="1027CF0C" w:rsidR="00B024B9" w:rsidRPr="00B024B9" w:rsidRDefault="00B024B9" w:rsidP="00B024B9">
            <w:pPr>
              <w:ind w:left="27"/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 w:rsidRPr="00B024B9">
              <w:rPr>
                <w:rFonts w:ascii="Nunito Sans Normal" w:hAnsi="Nunito Sans Normal"/>
                <w:color w:val="auto"/>
                <w:sz w:val="18"/>
                <w:szCs w:val="18"/>
              </w:rPr>
              <w:t>Remind young people not to put beads in their mouth</w:t>
            </w:r>
          </w:p>
        </w:tc>
        <w:tc>
          <w:tcPr>
            <w:tcW w:w="2840" w:type="dxa"/>
            <w:shd w:val="clear" w:color="auto" w:fill="auto"/>
          </w:tcPr>
          <w:p w14:paraId="57684C24" w14:textId="77777777" w:rsidR="00163423" w:rsidRPr="003A12DA" w:rsidRDefault="00163423" w:rsidP="00B024B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163423" w:rsidRPr="003A12DA" w14:paraId="39F59C01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76B0EA08" w14:textId="06584B6D" w:rsidR="00163423" w:rsidRDefault="0051306A" w:rsidP="00884E94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 w:rsidRPr="0051306A">
              <w:rPr>
                <w:rFonts w:ascii="Nunito Sans" w:hAnsi="Nunito Sans"/>
                <w:b/>
                <w:color w:val="auto"/>
                <w:sz w:val="18"/>
                <w:szCs w:val="18"/>
              </w:rPr>
              <w:t>Hazard:</w:t>
            </w: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 xml:space="preserve"> </w:t>
            </w:r>
            <w:r w:rsidR="00B024B9">
              <w:rPr>
                <w:rFonts w:ascii="Nunito Sans" w:hAnsi="Nunito Sans"/>
                <w:bCs/>
                <w:color w:val="auto"/>
                <w:sz w:val="18"/>
                <w:szCs w:val="18"/>
              </w:rPr>
              <w:t>Beads</w:t>
            </w:r>
          </w:p>
          <w:p w14:paraId="7D46010C" w14:textId="3242D51E" w:rsidR="0051306A" w:rsidRPr="0051306A" w:rsidRDefault="0051306A" w:rsidP="00884E94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 w:rsidRPr="0051306A">
              <w:rPr>
                <w:rFonts w:ascii="Nunito Sans" w:hAnsi="Nunito Sans"/>
                <w:b/>
                <w:color w:val="auto"/>
                <w:sz w:val="18"/>
                <w:szCs w:val="18"/>
              </w:rPr>
              <w:t>Risk</w:t>
            </w:r>
            <w:r>
              <w:rPr>
                <w:rFonts w:ascii="Nunito Sans" w:hAnsi="Nunito Sans"/>
                <w:b/>
                <w:color w:val="auto"/>
                <w:sz w:val="18"/>
                <w:szCs w:val="18"/>
              </w:rPr>
              <w:t>:</w:t>
            </w: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 xml:space="preserve"> </w:t>
            </w:r>
            <w:r w:rsidR="00B024B9">
              <w:rPr>
                <w:rFonts w:ascii="Nunito Sans" w:hAnsi="Nunito Sans"/>
                <w:bCs/>
                <w:color w:val="auto"/>
                <w:sz w:val="18"/>
                <w:szCs w:val="18"/>
              </w:rPr>
              <w:t>Slips causing injury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A3126A" w14:textId="27B52D51" w:rsidR="00163423" w:rsidRPr="0004327D" w:rsidRDefault="00B024B9" w:rsidP="00884E94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>
              <w:rPr>
                <w:rFonts w:ascii="Nunito Sans Normal" w:hAnsi="Nunito Sans Normal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68061318" w14:textId="66C5E38F" w:rsidR="00884E94" w:rsidRPr="005D59AE" w:rsidRDefault="00B024B9" w:rsidP="005D59AE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>
              <w:rPr>
                <w:rFonts w:ascii="Nunito Sans Normal" w:hAnsi="Nunito Sans Normal"/>
                <w:color w:val="auto"/>
                <w:sz w:val="18"/>
                <w:szCs w:val="18"/>
              </w:rPr>
              <w:t>Beads must be picked up straight away if they roll off the table or dropped</w:t>
            </w:r>
          </w:p>
        </w:tc>
        <w:tc>
          <w:tcPr>
            <w:tcW w:w="2840" w:type="dxa"/>
            <w:shd w:val="clear" w:color="auto" w:fill="auto"/>
          </w:tcPr>
          <w:p w14:paraId="4C176E77" w14:textId="77777777" w:rsidR="00163423" w:rsidRPr="003A12DA" w:rsidRDefault="00163423" w:rsidP="00884E94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24B9" w:rsidRPr="003A12DA" w14:paraId="4ACCBE29" w14:textId="77777777" w:rsidTr="00B024B9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308E3A49" w14:textId="4F5DDC58" w:rsidR="00B024B9" w:rsidRDefault="00B024B9" w:rsidP="00B024B9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Hazard:</w:t>
            </w:r>
            <w:r>
              <w:rPr>
                <w:rFonts w:ascii="Nunito Sans" w:hAnsi="Nunito Sans"/>
                <w:color w:val="auto"/>
                <w:sz w:val="18"/>
                <w:szCs w:val="18"/>
              </w:rPr>
              <w:t xml:space="preserve"> Beads</w:t>
            </w:r>
          </w:p>
          <w:p w14:paraId="6A7A1220" w14:textId="7A5B7E49" w:rsidR="00B024B9" w:rsidRPr="005D59AE" w:rsidRDefault="00B024B9" w:rsidP="00B024B9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B024B9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Risk</w:t>
            </w: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 xml:space="preserve">: </w:t>
            </w:r>
            <w:r>
              <w:rPr>
                <w:rFonts w:ascii="Nunito Sans" w:hAnsi="Nunito Sans"/>
                <w:color w:val="auto"/>
                <w:sz w:val="18"/>
                <w:szCs w:val="18"/>
              </w:rPr>
              <w:t>inserted in ear or up nose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164617" w14:textId="1EDAC0C3" w:rsidR="00B024B9" w:rsidRPr="0004327D" w:rsidRDefault="00B024B9" w:rsidP="00B024B9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>
              <w:rPr>
                <w:rFonts w:ascii="Nunito Sans Normal" w:hAnsi="Nunito Sans Normal"/>
                <w:color w:val="auto"/>
                <w:sz w:val="18"/>
                <w:szCs w:val="18"/>
              </w:rPr>
              <w:t>Young people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152A3B9F" w14:textId="77777777" w:rsidR="00B024B9" w:rsidRPr="00B024B9" w:rsidRDefault="00B024B9" w:rsidP="00B024B9">
            <w:pPr>
              <w:ind w:left="27"/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 w:rsidRPr="00B024B9">
              <w:rPr>
                <w:rFonts w:ascii="Nunito Sans Normal" w:hAnsi="Nunito Sans Normal"/>
                <w:color w:val="auto"/>
                <w:sz w:val="18"/>
                <w:szCs w:val="18"/>
              </w:rPr>
              <w:t>Supervision of young people</w:t>
            </w:r>
          </w:p>
          <w:p w14:paraId="398BD2D9" w14:textId="345223EE" w:rsidR="00B024B9" w:rsidRPr="0004327D" w:rsidRDefault="00B024B9" w:rsidP="00B024B9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32"/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 w:rsidRPr="00B024B9">
              <w:rPr>
                <w:rFonts w:ascii="Nunito Sans Normal" w:hAnsi="Nunito Sans Normal"/>
                <w:color w:val="auto"/>
                <w:sz w:val="18"/>
                <w:szCs w:val="18"/>
              </w:rPr>
              <w:t xml:space="preserve">Remind young people not to put beads in their </w:t>
            </w:r>
            <w:r>
              <w:rPr>
                <w:rFonts w:ascii="Nunito Sans Normal" w:hAnsi="Nunito Sans Normal"/>
                <w:color w:val="auto"/>
                <w:sz w:val="18"/>
                <w:szCs w:val="18"/>
              </w:rPr>
              <w:t>ears or up their nose</w:t>
            </w:r>
          </w:p>
        </w:tc>
        <w:tc>
          <w:tcPr>
            <w:tcW w:w="2840" w:type="dxa"/>
            <w:shd w:val="clear" w:color="auto" w:fill="auto"/>
          </w:tcPr>
          <w:p w14:paraId="4424974A" w14:textId="77777777" w:rsidR="00B024B9" w:rsidRPr="003A12DA" w:rsidRDefault="00B024B9" w:rsidP="00B024B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24B9" w:rsidRPr="003A12DA" w14:paraId="7FC75433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ABE8549" w14:textId="6170F252" w:rsidR="00B024B9" w:rsidRDefault="00B024B9" w:rsidP="00B024B9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  <w:t xml:space="preserve">Hazard: </w:t>
            </w:r>
            <w:r w:rsidR="00B41BD1" w:rsidRPr="00B41BD1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Ironing Hama creations</w:t>
            </w:r>
          </w:p>
          <w:p w14:paraId="62EA382E" w14:textId="0C5FB09B" w:rsidR="00B024B9" w:rsidRPr="00705AC9" w:rsidRDefault="00B024B9" w:rsidP="00B024B9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  <w:t>Risk:</w:t>
            </w:r>
            <w:r w:rsidRPr="00B41BD1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 xml:space="preserve"> </w:t>
            </w:r>
            <w:r w:rsidR="00B41BD1" w:rsidRPr="00B41BD1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burns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7A398A" w14:textId="388B605C" w:rsidR="00B024B9" w:rsidRPr="0004327D" w:rsidRDefault="00B41BD1" w:rsidP="00B024B9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>All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500D3E3D" w14:textId="080306DC" w:rsidR="00B024B9" w:rsidRPr="00B41BD1" w:rsidRDefault="00B41BD1" w:rsidP="00B41BD1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B41BD1"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>Squirrels/Beavers: only an adult to use the iron and this must be done on a different surface to wear the young people are creating</w:t>
            </w:r>
          </w:p>
          <w:p w14:paraId="7C955C30" w14:textId="09B1E0A0" w:rsidR="00B41BD1" w:rsidRDefault="00B41BD1" w:rsidP="00B024B9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 xml:space="preserve">Cubs/Scouts: adult to give easy, direct instruction to </w:t>
            </w:r>
            <w:proofErr w:type="spellStart"/>
            <w: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>yp</w:t>
            </w:r>
            <w:proofErr w:type="spellEnd"/>
            <w: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 xml:space="preserve"> before they are allowed to iron their creation – the adult MUST keep an eye on the young person all the time whilst using the iron</w:t>
            </w:r>
          </w:p>
          <w:p w14:paraId="56B825F6" w14:textId="77777777" w:rsidR="00B41BD1" w:rsidRDefault="00B41BD1" w:rsidP="00B41BD1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>Remind all young people that irons can burn and that they need to be sensible/careful.</w:t>
            </w:r>
          </w:p>
          <w:p w14:paraId="3B25C047" w14:textId="71954367" w:rsidR="00B41BD1" w:rsidRPr="0004327D" w:rsidRDefault="00B41BD1" w:rsidP="00B41BD1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 xml:space="preserve">Any silliness will result in that </w:t>
            </w:r>
            <w:proofErr w:type="spellStart"/>
            <w: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>yp</w:t>
            </w:r>
            <w:proofErr w:type="spellEnd"/>
            <w: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  <w:t xml:space="preserve"> not being able to iron their own creation</w:t>
            </w:r>
          </w:p>
        </w:tc>
        <w:tc>
          <w:tcPr>
            <w:tcW w:w="2840" w:type="dxa"/>
            <w:shd w:val="clear" w:color="auto" w:fill="auto"/>
          </w:tcPr>
          <w:p w14:paraId="324E455A" w14:textId="77777777" w:rsidR="00B024B9" w:rsidRPr="003A12DA" w:rsidRDefault="00B024B9" w:rsidP="00B024B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24B9" w:rsidRPr="003A12DA" w14:paraId="1BB2F16A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49385629" w14:textId="77777777" w:rsidR="00B024B9" w:rsidRPr="002F1890" w:rsidRDefault="00B024B9" w:rsidP="00B024B9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14E50BE" w14:textId="77777777" w:rsidR="00B024B9" w:rsidRPr="0004327D" w:rsidRDefault="00B024B9" w:rsidP="00B024B9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047C4771" w14:textId="77777777" w:rsidR="00B024B9" w:rsidRPr="0004327D" w:rsidRDefault="00B024B9" w:rsidP="00B024B9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ECD794B" w14:textId="77777777" w:rsidR="00B024B9" w:rsidRPr="003A12DA" w:rsidRDefault="00B024B9" w:rsidP="00B024B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24B9" w:rsidRPr="003A12DA" w14:paraId="1DBD42AE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3AE427B4" w14:textId="77777777" w:rsidR="00B024B9" w:rsidRPr="002F1890" w:rsidRDefault="00B024B9" w:rsidP="00B024B9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DD40712" w14:textId="77777777" w:rsidR="00B024B9" w:rsidRPr="0004327D" w:rsidRDefault="00B024B9" w:rsidP="00B024B9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2A201FD9" w14:textId="77777777" w:rsidR="00B024B9" w:rsidRPr="0004327D" w:rsidRDefault="00B024B9" w:rsidP="00B024B9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D72874C" w14:textId="77777777" w:rsidR="00B024B9" w:rsidRPr="003A12DA" w:rsidRDefault="00B024B9" w:rsidP="00B024B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24B9" w:rsidRPr="003A12DA" w14:paraId="20329D65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1AD60195" w14:textId="77777777" w:rsidR="00B024B9" w:rsidRPr="002F1890" w:rsidRDefault="00B024B9" w:rsidP="00B024B9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F077757" w14:textId="77777777" w:rsidR="00B024B9" w:rsidRPr="0004327D" w:rsidRDefault="00B024B9" w:rsidP="00B024B9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7C79FFA5" w14:textId="77777777" w:rsidR="00B024B9" w:rsidRPr="0004327D" w:rsidRDefault="00B024B9" w:rsidP="00B024B9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6F51623C" w14:textId="77777777" w:rsidR="00B024B9" w:rsidRPr="003A12DA" w:rsidRDefault="00B024B9" w:rsidP="00B024B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9E05B9">
      <w:headerReference w:type="default" r:id="rId7"/>
      <w:pgSz w:w="16840" w:h="11900" w:orient="landscape"/>
      <w:pgMar w:top="226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4DE5" w14:textId="77777777" w:rsidR="00093A06" w:rsidRDefault="00093A06">
      <w:r>
        <w:separator/>
      </w:r>
    </w:p>
  </w:endnote>
  <w:endnote w:type="continuationSeparator" w:id="0">
    <w:p w14:paraId="4A073BB3" w14:textId="77777777" w:rsidR="00093A06" w:rsidRDefault="0009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Nunito Sans Normal">
    <w:altName w:val="Nunito Sans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809B" w14:textId="77777777" w:rsidR="00093A06" w:rsidRDefault="00093A06">
      <w:r>
        <w:separator/>
      </w:r>
    </w:p>
  </w:footnote>
  <w:footnote w:type="continuationSeparator" w:id="0">
    <w:p w14:paraId="6956B33E" w14:textId="77777777" w:rsidR="00093A06" w:rsidRDefault="0009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150FA284" w:rsidR="000E7FE4" w:rsidRDefault="009E05B9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36"/>
      </w:rPr>
      <w:drawing>
        <wp:anchor distT="0" distB="0" distL="114300" distR="114300" simplePos="0" relativeHeight="251658240" behindDoc="1" locked="0" layoutInCell="1" allowOverlap="1" wp14:anchorId="072A5DB1" wp14:editId="5596F47C">
          <wp:simplePos x="0" y="0"/>
          <wp:positionH relativeFrom="column">
            <wp:posOffset>8009890</wp:posOffset>
          </wp:positionH>
          <wp:positionV relativeFrom="paragraph">
            <wp:posOffset>125730</wp:posOffset>
          </wp:positionV>
          <wp:extent cx="1699260" cy="631825"/>
          <wp:effectExtent l="0" t="0" r="0" b="0"/>
          <wp:wrapTight wrapText="bothSides">
            <wp:wrapPolygon edited="0">
              <wp:start x="16466" y="2605"/>
              <wp:lineTo x="2583" y="6513"/>
              <wp:lineTo x="1453" y="7815"/>
              <wp:lineTo x="1453" y="17801"/>
              <wp:lineTo x="6780" y="17801"/>
              <wp:lineTo x="12915" y="16933"/>
              <wp:lineTo x="19049" y="13459"/>
              <wp:lineTo x="18888" y="10420"/>
              <wp:lineTo x="20018" y="9118"/>
              <wp:lineTo x="19857" y="7381"/>
              <wp:lineTo x="17435" y="2605"/>
              <wp:lineTo x="16466" y="2605"/>
            </wp:wrapPolygon>
          </wp:wrapTight>
          <wp:docPr id="8193251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25117" name="Picture 819325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348A9" w14:textId="02C68602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77B"/>
    <w:multiLevelType w:val="hybridMultilevel"/>
    <w:tmpl w:val="0CC0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9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1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7936272">
    <w:abstractNumId w:val="8"/>
  </w:num>
  <w:num w:numId="2" w16cid:durableId="1005396049">
    <w:abstractNumId w:val="4"/>
  </w:num>
  <w:num w:numId="3" w16cid:durableId="368998695">
    <w:abstractNumId w:val="9"/>
  </w:num>
  <w:num w:numId="4" w16cid:durableId="1279069796">
    <w:abstractNumId w:val="7"/>
  </w:num>
  <w:num w:numId="5" w16cid:durableId="218395277">
    <w:abstractNumId w:val="11"/>
  </w:num>
  <w:num w:numId="6" w16cid:durableId="2034723934">
    <w:abstractNumId w:val="6"/>
  </w:num>
  <w:num w:numId="7" w16cid:durableId="1352730235">
    <w:abstractNumId w:val="3"/>
  </w:num>
  <w:num w:numId="8" w16cid:durableId="489440600">
    <w:abstractNumId w:val="5"/>
  </w:num>
  <w:num w:numId="9" w16cid:durableId="876742178">
    <w:abstractNumId w:val="13"/>
  </w:num>
  <w:num w:numId="10" w16cid:durableId="896169044">
    <w:abstractNumId w:val="12"/>
  </w:num>
  <w:num w:numId="11" w16cid:durableId="67265537">
    <w:abstractNumId w:val="2"/>
  </w:num>
  <w:num w:numId="12" w16cid:durableId="1059328365">
    <w:abstractNumId w:val="10"/>
  </w:num>
  <w:num w:numId="13" w16cid:durableId="349062664">
    <w:abstractNumId w:val="1"/>
  </w:num>
  <w:num w:numId="14" w16cid:durableId="14937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4327D"/>
    <w:rsid w:val="0004479F"/>
    <w:rsid w:val="000634BF"/>
    <w:rsid w:val="000674AB"/>
    <w:rsid w:val="00075ED7"/>
    <w:rsid w:val="00093A06"/>
    <w:rsid w:val="000A28C1"/>
    <w:rsid w:val="000C17A8"/>
    <w:rsid w:val="000E7FE4"/>
    <w:rsid w:val="000F7887"/>
    <w:rsid w:val="00122375"/>
    <w:rsid w:val="00135C83"/>
    <w:rsid w:val="0014726D"/>
    <w:rsid w:val="00163423"/>
    <w:rsid w:val="001650B3"/>
    <w:rsid w:val="00165DFF"/>
    <w:rsid w:val="00170BA2"/>
    <w:rsid w:val="00190068"/>
    <w:rsid w:val="001A3F22"/>
    <w:rsid w:val="001D3F69"/>
    <w:rsid w:val="001E27F3"/>
    <w:rsid w:val="001F6B2F"/>
    <w:rsid w:val="001F6E07"/>
    <w:rsid w:val="00236E22"/>
    <w:rsid w:val="00291F4F"/>
    <w:rsid w:val="002C3A5F"/>
    <w:rsid w:val="002F1890"/>
    <w:rsid w:val="002F4A9D"/>
    <w:rsid w:val="003548A1"/>
    <w:rsid w:val="0038012F"/>
    <w:rsid w:val="00381175"/>
    <w:rsid w:val="00381361"/>
    <w:rsid w:val="00385FFD"/>
    <w:rsid w:val="0039677B"/>
    <w:rsid w:val="003A363A"/>
    <w:rsid w:val="003D010B"/>
    <w:rsid w:val="003E4662"/>
    <w:rsid w:val="003F16F5"/>
    <w:rsid w:val="004030A0"/>
    <w:rsid w:val="0044034F"/>
    <w:rsid w:val="004445F4"/>
    <w:rsid w:val="00467449"/>
    <w:rsid w:val="004E49EB"/>
    <w:rsid w:val="0051306A"/>
    <w:rsid w:val="00554DF0"/>
    <w:rsid w:val="00557D3A"/>
    <w:rsid w:val="005B7233"/>
    <w:rsid w:val="005D59AE"/>
    <w:rsid w:val="005E5DF3"/>
    <w:rsid w:val="0068049B"/>
    <w:rsid w:val="00684008"/>
    <w:rsid w:val="00687ED7"/>
    <w:rsid w:val="00692A58"/>
    <w:rsid w:val="006A0FFE"/>
    <w:rsid w:val="006C561D"/>
    <w:rsid w:val="006D67FB"/>
    <w:rsid w:val="00705AC9"/>
    <w:rsid w:val="00713253"/>
    <w:rsid w:val="00734F70"/>
    <w:rsid w:val="0074671D"/>
    <w:rsid w:val="00756AD8"/>
    <w:rsid w:val="007A3A72"/>
    <w:rsid w:val="007C292B"/>
    <w:rsid w:val="007C40ED"/>
    <w:rsid w:val="00803281"/>
    <w:rsid w:val="0082127C"/>
    <w:rsid w:val="00830CD9"/>
    <w:rsid w:val="00884E94"/>
    <w:rsid w:val="008D439C"/>
    <w:rsid w:val="00920279"/>
    <w:rsid w:val="009423B7"/>
    <w:rsid w:val="00974893"/>
    <w:rsid w:val="00995370"/>
    <w:rsid w:val="009A1F4A"/>
    <w:rsid w:val="009C6E74"/>
    <w:rsid w:val="009E05B9"/>
    <w:rsid w:val="009E5A32"/>
    <w:rsid w:val="00A40630"/>
    <w:rsid w:val="00A42BC5"/>
    <w:rsid w:val="00A55581"/>
    <w:rsid w:val="00A60E51"/>
    <w:rsid w:val="00A64D50"/>
    <w:rsid w:val="00A84C44"/>
    <w:rsid w:val="00A87C01"/>
    <w:rsid w:val="00AA3D75"/>
    <w:rsid w:val="00AD06F7"/>
    <w:rsid w:val="00AD10FA"/>
    <w:rsid w:val="00AD53C3"/>
    <w:rsid w:val="00AF392A"/>
    <w:rsid w:val="00B024B9"/>
    <w:rsid w:val="00B02C50"/>
    <w:rsid w:val="00B11867"/>
    <w:rsid w:val="00B26EAB"/>
    <w:rsid w:val="00B3128D"/>
    <w:rsid w:val="00B35E02"/>
    <w:rsid w:val="00B41BD1"/>
    <w:rsid w:val="00BA20CF"/>
    <w:rsid w:val="00BF48E2"/>
    <w:rsid w:val="00C336CB"/>
    <w:rsid w:val="00C37FE0"/>
    <w:rsid w:val="00C83C4F"/>
    <w:rsid w:val="00CA4368"/>
    <w:rsid w:val="00CB6088"/>
    <w:rsid w:val="00CD3BA1"/>
    <w:rsid w:val="00D17D3D"/>
    <w:rsid w:val="00D27FE1"/>
    <w:rsid w:val="00D30805"/>
    <w:rsid w:val="00D4270F"/>
    <w:rsid w:val="00D50B2C"/>
    <w:rsid w:val="00D64B0C"/>
    <w:rsid w:val="00D7439E"/>
    <w:rsid w:val="00D749E0"/>
    <w:rsid w:val="00DA4C8A"/>
    <w:rsid w:val="00DC169A"/>
    <w:rsid w:val="00E0091C"/>
    <w:rsid w:val="00E0546B"/>
    <w:rsid w:val="00E33D6A"/>
    <w:rsid w:val="00E37D87"/>
    <w:rsid w:val="00E80533"/>
    <w:rsid w:val="00E842C6"/>
    <w:rsid w:val="00EE3BF7"/>
    <w:rsid w:val="00EF27AA"/>
    <w:rsid w:val="00F01713"/>
    <w:rsid w:val="00F5347C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3</cp:revision>
  <cp:lastPrinted>2021-07-01T14:40:00Z</cp:lastPrinted>
  <dcterms:created xsi:type="dcterms:W3CDTF">2025-02-02T17:47:00Z</dcterms:created>
  <dcterms:modified xsi:type="dcterms:W3CDTF">2025-02-02T18:45:00Z</dcterms:modified>
</cp:coreProperties>
</file>