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380"/>
        <w:gridCol w:w="1305"/>
        <w:gridCol w:w="1843"/>
        <w:gridCol w:w="1701"/>
        <w:gridCol w:w="1701"/>
        <w:gridCol w:w="2268"/>
        <w:gridCol w:w="2670"/>
      </w:tblGrid>
      <w:tr w:rsidR="00A40630" w:rsidRPr="003A12DA" w14:paraId="447F9888" w14:textId="77777777" w:rsidTr="008B6942">
        <w:trPr>
          <w:trHeight w:val="701"/>
        </w:trPr>
        <w:tc>
          <w:tcPr>
            <w:tcW w:w="1555" w:type="dxa"/>
            <w:shd w:val="clear" w:color="auto" w:fill="DBE5F1" w:themeFill="accent1" w:themeFillTint="33"/>
          </w:tcPr>
          <w:p w14:paraId="2C42FFFB" w14:textId="2054C30D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activity</w:t>
            </w:r>
          </w:p>
        </w:tc>
        <w:tc>
          <w:tcPr>
            <w:tcW w:w="2380" w:type="dxa"/>
            <w:shd w:val="clear" w:color="auto" w:fill="FFFFFF"/>
          </w:tcPr>
          <w:p w14:paraId="6EB40ED6" w14:textId="3E6C2951" w:rsidR="00A40630" w:rsidRPr="004E49EB" w:rsidRDefault="008B6942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</w:rPr>
              <w:t xml:space="preserve">Cooking, </w:t>
            </w:r>
            <w:r w:rsidR="002A68DD">
              <w:rPr>
                <w:rFonts w:ascii="Nunito Sans" w:hAnsi="Nunito Sans"/>
                <w:b/>
                <w:color w:val="365F91" w:themeColor="accent1" w:themeShade="BF"/>
              </w:rPr>
              <w:t>Kitchen</w:t>
            </w:r>
            <w:r>
              <w:rPr>
                <w:rFonts w:ascii="Nunito Sans" w:hAnsi="Nunito Sans"/>
                <w:b/>
                <w:color w:val="365F91" w:themeColor="accent1" w:themeShade="BF"/>
              </w:rPr>
              <w:t xml:space="preserve"> </w:t>
            </w:r>
          </w:p>
          <w:p w14:paraId="0CAA1CDC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</w:p>
        </w:tc>
        <w:tc>
          <w:tcPr>
            <w:tcW w:w="1305" w:type="dxa"/>
            <w:shd w:val="clear" w:color="auto" w:fill="DBE5F1" w:themeFill="accent1" w:themeFillTint="33"/>
          </w:tcPr>
          <w:p w14:paraId="7521D3CC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</w:tcPr>
          <w:p w14:paraId="2DC73BF0" w14:textId="0FFE68D3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701" w:type="dxa"/>
            <w:shd w:val="clear" w:color="auto" w:fill="FFFFFF"/>
          </w:tcPr>
          <w:p w14:paraId="42E6D69A" w14:textId="3724B3A4" w:rsidR="00A40630" w:rsidRPr="004E49EB" w:rsidRDefault="003E38CE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</w:rPr>
              <w:t>NEXT TIME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CC3A50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/>
          </w:tcPr>
          <w:p w14:paraId="689F5B54" w14:textId="62B8D42B" w:rsidR="00A40630" w:rsidRPr="00A40630" w:rsidRDefault="008B6942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8215"/>
        <w:gridCol w:w="2840"/>
      </w:tblGrid>
      <w:tr w:rsidR="00A40630" w:rsidRPr="003A12DA" w14:paraId="0C78A695" w14:textId="77777777" w:rsidTr="00692A58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215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4E49EB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00692A58">
        <w:trPr>
          <w:trHeight w:val="1756"/>
        </w:trPr>
        <w:tc>
          <w:tcPr>
            <w:tcW w:w="2840" w:type="dxa"/>
            <w:shd w:val="clear" w:color="auto" w:fill="auto"/>
          </w:tcPr>
          <w:p w14:paraId="0B9B67AA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A hazard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something that may cause harm or damage.</w:t>
            </w:r>
          </w:p>
          <w:p w14:paraId="63E4ADD0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The risk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the harm that may occur from the hazard.</w:t>
            </w:r>
          </w:p>
          <w:p w14:paraId="56ECE239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example: young people,</w:t>
            </w:r>
          </w:p>
          <w:p w14:paraId="5FE14F2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leaders, </w:t>
            </w:r>
          </w:p>
          <w:p w14:paraId="61A705F4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visitors</w:t>
            </w:r>
          </w:p>
        </w:tc>
        <w:tc>
          <w:tcPr>
            <w:tcW w:w="8215" w:type="dxa"/>
            <w:shd w:val="clear" w:color="auto" w:fill="auto"/>
          </w:tcPr>
          <w:p w14:paraId="5F9C399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Controls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example, you may use a different piece of equipment or you might change the way you do the activity.</w:t>
            </w:r>
          </w:p>
        </w:tc>
        <w:tc>
          <w:tcPr>
            <w:tcW w:w="2840" w:type="dxa"/>
            <w:shd w:val="clear" w:color="auto" w:fill="auto"/>
          </w:tcPr>
          <w:p w14:paraId="3A9FA7EF" w14:textId="4C544745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Keep </w:t>
            </w: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checking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throughout the activity in case you need to change what you’re doing or even </w:t>
            </w: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stop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the activity. </w:t>
            </w:r>
          </w:p>
          <w:p w14:paraId="19FA52E5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This is a great place to add comments which will be used as part of the review.</w:t>
            </w:r>
          </w:p>
        </w:tc>
      </w:tr>
      <w:tr w:rsidR="00163423" w:rsidRPr="003A12DA" w14:paraId="573DE9FA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5AD7DE87" w14:textId="37E0CA0A" w:rsidR="00163423" w:rsidRPr="002F1890" w:rsidRDefault="008B6942" w:rsidP="008B6942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Sharps – cuts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80CF90" w14:textId="32909BFE" w:rsidR="00163423" w:rsidRPr="002F1890" w:rsidRDefault="008B6942" w:rsidP="008B6942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0186936F" w14:textId="68FAC216" w:rsidR="00163423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Sharps are kept in </w:t>
            </w:r>
            <w:r w:rsidR="003E38CE">
              <w:rPr>
                <w:color w:val="auto"/>
                <w:sz w:val="18"/>
                <w:szCs w:val="18"/>
              </w:rPr>
              <w:t>knife wrap when not in use (having been washed up after use)</w:t>
            </w:r>
          </w:p>
          <w:p w14:paraId="1546D4CD" w14:textId="06367EBA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Instruction given to Scouts before use of any sharps</w:t>
            </w:r>
          </w:p>
          <w:p w14:paraId="73A85AEB" w14:textId="181BDD71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 adult will be in kitchen at all times</w:t>
            </w:r>
          </w:p>
          <w:p w14:paraId="36A79E15" w14:textId="5EDA8E01" w:rsidR="008B6942" w:rsidRPr="002F1890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7684C24" w14:textId="77777777" w:rsidR="00163423" w:rsidRPr="003A12DA" w:rsidRDefault="00163423" w:rsidP="008B6942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163423" w:rsidRPr="003A12DA" w14:paraId="39F59C01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7D46010C" w14:textId="7149E152" w:rsidR="00163423" w:rsidRPr="002F1890" w:rsidRDefault="008B6942" w:rsidP="008B6942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Hot water/steam/hot plates/oven – burns/scalds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1A3126A" w14:textId="2D0BB60B" w:rsidR="00163423" w:rsidRPr="002F1890" w:rsidRDefault="008B6942" w:rsidP="008B6942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6D986333" w14:textId="77777777" w:rsidR="00163423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Instruction given to Scouts about safety near the cooker and any pans </w:t>
            </w:r>
          </w:p>
          <w:p w14:paraId="2AF8D066" w14:textId="77777777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Safe handling using oven gloves/similar</w:t>
            </w:r>
          </w:p>
          <w:p w14:paraId="0B331126" w14:textId="77777777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Caution when removing lids or emptying contents – ask for help if necessary</w:t>
            </w:r>
          </w:p>
          <w:p w14:paraId="68061318" w14:textId="1DBBF39B" w:rsidR="008B6942" w:rsidRPr="002F1890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Adult in kitchen at all times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176E77" w14:textId="77777777" w:rsidR="00163423" w:rsidRPr="003A12DA" w:rsidRDefault="00163423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3A12DA" w14:paraId="4ACCBE29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A7A1220" w14:textId="724C407E" w:rsidR="008D439C" w:rsidRPr="002F1890" w:rsidRDefault="008B6942" w:rsidP="008B6942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Spilt liquids - Slips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164617" w14:textId="6DF450A5" w:rsidR="008D439C" w:rsidRPr="002F1890" w:rsidRDefault="008B6942" w:rsidP="008B6942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398BD2D9" w14:textId="60604AED" w:rsidR="008D439C" w:rsidRPr="002F1890" w:rsidRDefault="008B6942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Explain that ALL spillage should be cleaned up immediately – ask another Scout to stand close to spillage whilst cleaning materials sought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24974A" w14:textId="77777777" w:rsidR="008D439C" w:rsidRPr="003A12DA" w:rsidRDefault="008D439C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3A12DA" w14:paraId="7FC75433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2EA382E" w14:textId="70E6A3B1" w:rsidR="008D439C" w:rsidRPr="008B6942" w:rsidRDefault="008B6942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 w:rsidRPr="008B6942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Hygiene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7A398A" w14:textId="56AC1247" w:rsidR="008D439C" w:rsidRPr="002F1890" w:rsidRDefault="008B6942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744EAAB3" w14:textId="7EE3B16C" w:rsidR="008D439C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Hands must be thoroughly washed with soap before handling any foods</w:t>
            </w:r>
          </w:p>
          <w:p w14:paraId="62D082A2" w14:textId="77777777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Hands must be washed after handling raw meat before handling any other food</w:t>
            </w:r>
          </w:p>
          <w:p w14:paraId="5164A0CC" w14:textId="77777777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Surfaces must be cleaned thoroughly before/after use</w:t>
            </w:r>
          </w:p>
          <w:p w14:paraId="3B25C047" w14:textId="4630306C" w:rsidR="008B6942" w:rsidRPr="002F1890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All equipment should be washed before use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4E455A" w14:textId="77777777" w:rsidR="008D439C" w:rsidRPr="003A12DA" w:rsidRDefault="008D439C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3A12DA" w14:paraId="1BB2F16A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49385629" w14:textId="79C83428" w:rsidR="00692A58" w:rsidRPr="008B6942" w:rsidRDefault="008B6942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 w:rsidRPr="008B6942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Behaviour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4E50BE" w14:textId="5D8384B4" w:rsidR="00692A58" w:rsidRPr="002F1890" w:rsidRDefault="008B6942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Scouts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148BFB1C" w14:textId="77777777" w:rsidR="00692A58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Instruction given to scouts that the kitchen is not the place for messing about</w:t>
            </w:r>
          </w:p>
          <w:p w14:paraId="047C4771" w14:textId="0B010F98" w:rsidR="008B6942" w:rsidRPr="002F1890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Any poor behaviour will result in Scout(s) being removed from kitchen to other duties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CD794B" w14:textId="77777777" w:rsidR="00692A58" w:rsidRPr="003A12DA" w:rsidRDefault="00692A58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3A12DA" w14:paraId="1DBD42AE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3AE427B4" w14:textId="77777777" w:rsidR="00692A58" w:rsidRPr="002F1890" w:rsidRDefault="00692A58" w:rsidP="008B6942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DD40712" w14:textId="77777777" w:rsidR="00692A58" w:rsidRPr="002F1890" w:rsidRDefault="00692A58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2A201FD9" w14:textId="77777777" w:rsidR="00692A58" w:rsidRPr="002F1890" w:rsidRDefault="00692A58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D72874C" w14:textId="77777777" w:rsidR="00692A58" w:rsidRPr="003A12DA" w:rsidRDefault="00692A58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3A12DA" w14:paraId="12ED97CA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00B3DF69" w14:textId="77777777" w:rsidR="00692A58" w:rsidRPr="002F1890" w:rsidRDefault="00692A58" w:rsidP="008B6942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0F8E7C97" w14:textId="77777777" w:rsidR="00692A58" w:rsidRPr="002F1890" w:rsidRDefault="00692A58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</w:tcPr>
          <w:p w14:paraId="684E5E3B" w14:textId="77777777" w:rsidR="00692A58" w:rsidRPr="002F1890" w:rsidRDefault="00692A58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2181FDAD" w14:textId="77777777" w:rsidR="00692A58" w:rsidRPr="003A12DA" w:rsidRDefault="00692A58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 w:rsidP="008B6942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0E7FE4">
      <w:headerReference w:type="default" r:id="rId7"/>
      <w:pgSz w:w="16840" w:h="11900" w:orient="landscape"/>
      <w:pgMar w:top="302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2BD1" w14:textId="77777777" w:rsidR="00EA56B4" w:rsidRDefault="00EA56B4">
      <w:r>
        <w:separator/>
      </w:r>
    </w:p>
  </w:endnote>
  <w:endnote w:type="continuationSeparator" w:id="0">
    <w:p w14:paraId="0CC975F7" w14:textId="77777777" w:rsidR="00EA56B4" w:rsidRDefault="00EA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71FD5" w14:textId="77777777" w:rsidR="00EA56B4" w:rsidRDefault="00EA56B4">
      <w:r>
        <w:separator/>
      </w:r>
    </w:p>
  </w:footnote>
  <w:footnote w:type="continuationSeparator" w:id="0">
    <w:p w14:paraId="26653709" w14:textId="77777777" w:rsidR="00EA56B4" w:rsidRDefault="00EA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0D65D8DD" w:rsidR="000E7FE4" w:rsidRDefault="00557D3A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 wp14:anchorId="0674E3B1" wp14:editId="03052DE2">
          <wp:simplePos x="0" y="0"/>
          <wp:positionH relativeFrom="column">
            <wp:posOffset>7649845</wp:posOffset>
          </wp:positionH>
          <wp:positionV relativeFrom="paragraph">
            <wp:posOffset>121920</wp:posOffset>
          </wp:positionV>
          <wp:extent cx="2230755" cy="978535"/>
          <wp:effectExtent l="0" t="0" r="4445" b="0"/>
          <wp:wrapTight wrapText="bothSides">
            <wp:wrapPolygon edited="0">
              <wp:start x="0" y="0"/>
              <wp:lineTo x="0" y="21306"/>
              <wp:lineTo x="21520" y="21306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348A9" w14:textId="6515B8F7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8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2175256">
    <w:abstractNumId w:val="7"/>
  </w:num>
  <w:num w:numId="2" w16cid:durableId="1764180246">
    <w:abstractNumId w:val="3"/>
  </w:num>
  <w:num w:numId="3" w16cid:durableId="1477726992">
    <w:abstractNumId w:val="8"/>
  </w:num>
  <w:num w:numId="4" w16cid:durableId="95487118">
    <w:abstractNumId w:val="6"/>
  </w:num>
  <w:num w:numId="5" w16cid:durableId="341519063">
    <w:abstractNumId w:val="10"/>
  </w:num>
  <w:num w:numId="6" w16cid:durableId="952514068">
    <w:abstractNumId w:val="5"/>
  </w:num>
  <w:num w:numId="7" w16cid:durableId="344332734">
    <w:abstractNumId w:val="2"/>
  </w:num>
  <w:num w:numId="8" w16cid:durableId="208760430">
    <w:abstractNumId w:val="4"/>
  </w:num>
  <w:num w:numId="9" w16cid:durableId="2059475710">
    <w:abstractNumId w:val="12"/>
  </w:num>
  <w:num w:numId="10" w16cid:durableId="1642152078">
    <w:abstractNumId w:val="11"/>
  </w:num>
  <w:num w:numId="11" w16cid:durableId="431902336">
    <w:abstractNumId w:val="1"/>
  </w:num>
  <w:num w:numId="12" w16cid:durableId="780800720">
    <w:abstractNumId w:val="9"/>
  </w:num>
  <w:num w:numId="13" w16cid:durableId="203195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674AB"/>
    <w:rsid w:val="00075ED7"/>
    <w:rsid w:val="000A28C1"/>
    <w:rsid w:val="000C17A8"/>
    <w:rsid w:val="000E7FE4"/>
    <w:rsid w:val="000F7887"/>
    <w:rsid w:val="00135C83"/>
    <w:rsid w:val="0014726D"/>
    <w:rsid w:val="00163423"/>
    <w:rsid w:val="001650B3"/>
    <w:rsid w:val="00170BA2"/>
    <w:rsid w:val="00190068"/>
    <w:rsid w:val="001A3F22"/>
    <w:rsid w:val="001E27F3"/>
    <w:rsid w:val="001F6E07"/>
    <w:rsid w:val="00236E22"/>
    <w:rsid w:val="00291F4F"/>
    <w:rsid w:val="002A68DD"/>
    <w:rsid w:val="002F1890"/>
    <w:rsid w:val="002F4A9D"/>
    <w:rsid w:val="003548A1"/>
    <w:rsid w:val="0038012F"/>
    <w:rsid w:val="00381361"/>
    <w:rsid w:val="00385FFD"/>
    <w:rsid w:val="0039677B"/>
    <w:rsid w:val="003A363A"/>
    <w:rsid w:val="003E38CE"/>
    <w:rsid w:val="003E4662"/>
    <w:rsid w:val="003F16F5"/>
    <w:rsid w:val="004030A0"/>
    <w:rsid w:val="0044034F"/>
    <w:rsid w:val="004445F4"/>
    <w:rsid w:val="00467449"/>
    <w:rsid w:val="004718F9"/>
    <w:rsid w:val="004E49EB"/>
    <w:rsid w:val="00554DF0"/>
    <w:rsid w:val="00557D3A"/>
    <w:rsid w:val="005E5DF3"/>
    <w:rsid w:val="00684008"/>
    <w:rsid w:val="00687ED7"/>
    <w:rsid w:val="00692A58"/>
    <w:rsid w:val="006A0FFE"/>
    <w:rsid w:val="006C561D"/>
    <w:rsid w:val="006D1C56"/>
    <w:rsid w:val="006D67FB"/>
    <w:rsid w:val="00713253"/>
    <w:rsid w:val="00734F70"/>
    <w:rsid w:val="007A3A72"/>
    <w:rsid w:val="007C292B"/>
    <w:rsid w:val="007C40ED"/>
    <w:rsid w:val="00803281"/>
    <w:rsid w:val="00830CD9"/>
    <w:rsid w:val="008A386F"/>
    <w:rsid w:val="008B6942"/>
    <w:rsid w:val="008D439C"/>
    <w:rsid w:val="009423B7"/>
    <w:rsid w:val="00974893"/>
    <w:rsid w:val="009E5A32"/>
    <w:rsid w:val="00A40630"/>
    <w:rsid w:val="00A60E51"/>
    <w:rsid w:val="00A64D50"/>
    <w:rsid w:val="00A84C44"/>
    <w:rsid w:val="00A87C01"/>
    <w:rsid w:val="00AA3D75"/>
    <w:rsid w:val="00AD06F7"/>
    <w:rsid w:val="00AD10FA"/>
    <w:rsid w:val="00AD53C3"/>
    <w:rsid w:val="00B02C50"/>
    <w:rsid w:val="00B11867"/>
    <w:rsid w:val="00B26EAB"/>
    <w:rsid w:val="00B3128D"/>
    <w:rsid w:val="00B35E02"/>
    <w:rsid w:val="00BF48E2"/>
    <w:rsid w:val="00C37FE0"/>
    <w:rsid w:val="00C83C4F"/>
    <w:rsid w:val="00CA4368"/>
    <w:rsid w:val="00CB6088"/>
    <w:rsid w:val="00CD3BA1"/>
    <w:rsid w:val="00D17D3D"/>
    <w:rsid w:val="00D27FE1"/>
    <w:rsid w:val="00D30805"/>
    <w:rsid w:val="00D4270F"/>
    <w:rsid w:val="00D50B2C"/>
    <w:rsid w:val="00D64B0C"/>
    <w:rsid w:val="00D7439E"/>
    <w:rsid w:val="00D749E0"/>
    <w:rsid w:val="00DA4C8A"/>
    <w:rsid w:val="00DC169A"/>
    <w:rsid w:val="00E0091C"/>
    <w:rsid w:val="00E33D6A"/>
    <w:rsid w:val="00E37D87"/>
    <w:rsid w:val="00E80533"/>
    <w:rsid w:val="00E842C6"/>
    <w:rsid w:val="00EA56B4"/>
    <w:rsid w:val="00EE3BF7"/>
    <w:rsid w:val="00EF27AA"/>
    <w:rsid w:val="00F01713"/>
    <w:rsid w:val="00F5347C"/>
    <w:rsid w:val="00F94BFF"/>
    <w:rsid w:val="00F966A3"/>
    <w:rsid w:val="00FC4E78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4</cp:revision>
  <cp:lastPrinted>2021-07-01T14:40:00Z</cp:lastPrinted>
  <dcterms:created xsi:type="dcterms:W3CDTF">2021-10-19T18:14:00Z</dcterms:created>
  <dcterms:modified xsi:type="dcterms:W3CDTF">2025-02-02T18:13:00Z</dcterms:modified>
</cp:coreProperties>
</file>