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55"/>
        <w:gridCol w:w="1505"/>
        <w:gridCol w:w="1843"/>
        <w:gridCol w:w="1701"/>
        <w:gridCol w:w="1701"/>
        <w:gridCol w:w="3118"/>
        <w:gridCol w:w="1820"/>
      </w:tblGrid>
      <w:tr w:rsidR="00A40630" w:rsidRPr="003A12DA" w14:paraId="447F9888" w14:textId="77777777" w:rsidTr="00A40630">
        <w:trPr>
          <w:trHeight w:val="701"/>
        </w:trPr>
        <w:tc>
          <w:tcPr>
            <w:tcW w:w="1980" w:type="dxa"/>
            <w:shd w:val="clear" w:color="auto" w:fill="DBE5F1" w:themeFill="accent1" w:themeFillTint="33"/>
          </w:tcPr>
          <w:p w14:paraId="2C42FFFB" w14:textId="77777777" w:rsidR="00A40630" w:rsidRPr="00A40630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Name of activity, event, and location</w:t>
            </w:r>
          </w:p>
        </w:tc>
        <w:tc>
          <w:tcPr>
            <w:tcW w:w="1755" w:type="dxa"/>
            <w:shd w:val="clear" w:color="auto" w:fill="FFFFFF"/>
          </w:tcPr>
          <w:p w14:paraId="21630498" w14:textId="1237A343" w:rsidR="00A40630" w:rsidRPr="00A40630" w:rsidRDefault="001D2241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Swimming</w:t>
            </w:r>
          </w:p>
          <w:p w14:paraId="6EB40ED6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</w:p>
          <w:p w14:paraId="0CAA1CDC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DBE5F1" w:themeFill="accent1" w:themeFillTint="33"/>
          </w:tcPr>
          <w:p w14:paraId="7521D3CC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Date of risk assessment</w:t>
            </w:r>
          </w:p>
        </w:tc>
        <w:tc>
          <w:tcPr>
            <w:tcW w:w="1843" w:type="dxa"/>
            <w:shd w:val="clear" w:color="auto" w:fill="auto"/>
          </w:tcPr>
          <w:p w14:paraId="295FBD82" w14:textId="77777777" w:rsidR="00A40630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15 June 2021</w:t>
            </w:r>
          </w:p>
          <w:p w14:paraId="1FEE0A94" w14:textId="77777777" w:rsidR="001D155F" w:rsidRDefault="001D155F" w:rsidP="00A40630">
            <w:pPr>
              <w:jc w:val="center"/>
              <w:rPr>
                <w:rFonts w:ascii="Nunito Sans" w:hAnsi="Nunito Sans"/>
                <w:b/>
                <w:color w:val="FF0000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FF0000"/>
                <w:sz w:val="18"/>
                <w:szCs w:val="18"/>
              </w:rPr>
              <w:t>Updated 09/04/2024</w:t>
            </w:r>
          </w:p>
          <w:p w14:paraId="2DC73BF0" w14:textId="16BB3779" w:rsidR="00FD0B52" w:rsidRPr="001D155F" w:rsidRDefault="00FD0B52" w:rsidP="00A40630">
            <w:pPr>
              <w:jc w:val="center"/>
              <w:rPr>
                <w:rFonts w:ascii="Nunito Sans" w:hAnsi="Nunito Sans"/>
                <w:b/>
                <w:color w:val="FF0000"/>
                <w:sz w:val="18"/>
                <w:szCs w:val="18"/>
              </w:rPr>
            </w:pPr>
            <w:r w:rsidRPr="00FD0B52"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Checked FEB 25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F531F5B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Date of next review</w:t>
            </w:r>
          </w:p>
        </w:tc>
        <w:tc>
          <w:tcPr>
            <w:tcW w:w="1701" w:type="dxa"/>
            <w:shd w:val="clear" w:color="auto" w:fill="FFFFFF"/>
          </w:tcPr>
          <w:p w14:paraId="42E6D69A" w14:textId="2627168E" w:rsidR="00A40630" w:rsidRPr="00A40630" w:rsidRDefault="001D155F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Next visit</w:t>
            </w:r>
            <w:r w:rsidR="00A40630" w:rsidRPr="00A40630"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CC3A50B" w14:textId="77777777" w:rsidR="00A40630" w:rsidRPr="00A40630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Name of person doing this risk assessment</w:t>
            </w:r>
          </w:p>
        </w:tc>
        <w:tc>
          <w:tcPr>
            <w:tcW w:w="1820" w:type="dxa"/>
            <w:shd w:val="clear" w:color="auto" w:fill="FFFFFF"/>
          </w:tcPr>
          <w:p w14:paraId="689F5B54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Default="005E5DF3"/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939"/>
        <w:gridCol w:w="4116"/>
      </w:tblGrid>
      <w:tr w:rsidR="00A40630" w:rsidRPr="003A12DA" w14:paraId="0C78A695" w14:textId="77777777" w:rsidTr="00AA3D75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93DC59F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6939" w:type="dxa"/>
            <w:shd w:val="clear" w:color="auto" w:fill="DBE5F1" w:themeFill="accent1" w:themeFillTint="33"/>
          </w:tcPr>
          <w:p w14:paraId="41D32D98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4116" w:type="dxa"/>
            <w:shd w:val="clear" w:color="auto" w:fill="DBE5F1" w:themeFill="accent1" w:themeFillTint="33"/>
          </w:tcPr>
          <w:p w14:paraId="685E809B" w14:textId="77777777" w:rsidR="00A40630" w:rsidRPr="003A12DA" w:rsidRDefault="00A40630" w:rsidP="00C178D9">
            <w:pPr>
              <w:jc w:val="center"/>
              <w:rPr>
                <w:b/>
                <w:color w:val="000000" w:themeColor="text1"/>
              </w:rPr>
            </w:pPr>
            <w:r w:rsidRPr="003A12DA">
              <w:rPr>
                <w:b/>
                <w:color w:val="000000" w:themeColor="text1"/>
              </w:rPr>
              <w:t>What has changed that needs to be thought about and controlled?</w:t>
            </w:r>
          </w:p>
        </w:tc>
      </w:tr>
      <w:tr w:rsidR="00A40630" w:rsidRPr="003A12DA" w14:paraId="334AD137" w14:textId="77777777" w:rsidTr="00AA3D75">
        <w:trPr>
          <w:trHeight w:val="855"/>
        </w:trPr>
        <w:tc>
          <w:tcPr>
            <w:tcW w:w="2840" w:type="dxa"/>
            <w:shd w:val="clear" w:color="auto" w:fill="auto"/>
          </w:tcPr>
          <w:p w14:paraId="0B9B67AA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A hazard</w:t>
            </w: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is something that may cause harm or damage.</w:t>
            </w:r>
          </w:p>
          <w:p w14:paraId="63E4ADD0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The risk</w:t>
            </w: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is the harm that may occur from the hazard.</w:t>
            </w:r>
          </w:p>
          <w:p w14:paraId="56ECE239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58AF807E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>For example: young people,</w:t>
            </w:r>
          </w:p>
          <w:p w14:paraId="5FE14F2B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leaders, </w:t>
            </w:r>
          </w:p>
          <w:p w14:paraId="61A705F4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>visitors</w:t>
            </w:r>
          </w:p>
        </w:tc>
        <w:tc>
          <w:tcPr>
            <w:tcW w:w="6939" w:type="dxa"/>
            <w:shd w:val="clear" w:color="auto" w:fill="auto"/>
          </w:tcPr>
          <w:p w14:paraId="5F9C399B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Controls</w:t>
            </w: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are ways of making the activity safer by removing or reducing the risk from it.  </w:t>
            </w:r>
          </w:p>
          <w:p w14:paraId="075AD298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>For example, you may use a different piece of equipment or you might change the way you do the activity.</w:t>
            </w:r>
          </w:p>
        </w:tc>
        <w:tc>
          <w:tcPr>
            <w:tcW w:w="4116" w:type="dxa"/>
            <w:shd w:val="clear" w:color="auto" w:fill="auto"/>
          </w:tcPr>
          <w:p w14:paraId="424DB82F" w14:textId="77777777" w:rsidR="00A40630" w:rsidRPr="003A12DA" w:rsidRDefault="00A40630" w:rsidP="00C178D9">
            <w:pPr>
              <w:rPr>
                <w:color w:val="000000" w:themeColor="text1"/>
                <w:sz w:val="16"/>
                <w:szCs w:val="16"/>
              </w:rPr>
            </w:pPr>
            <w:r w:rsidRPr="003A12DA">
              <w:rPr>
                <w:color w:val="000000" w:themeColor="text1"/>
                <w:sz w:val="16"/>
                <w:szCs w:val="16"/>
              </w:rPr>
              <w:t xml:space="preserve">Keep </w:t>
            </w:r>
            <w:r w:rsidRPr="003A12DA">
              <w:rPr>
                <w:b/>
                <w:color w:val="000000" w:themeColor="text1"/>
                <w:sz w:val="16"/>
                <w:szCs w:val="16"/>
              </w:rPr>
              <w:t>checking</w:t>
            </w:r>
            <w:r w:rsidRPr="003A12DA">
              <w:rPr>
                <w:color w:val="000000" w:themeColor="text1"/>
                <w:sz w:val="16"/>
                <w:szCs w:val="16"/>
              </w:rPr>
              <w:t xml:space="preserve"> throughout the activity in case you need to change what you’re doing or even </w:t>
            </w:r>
            <w:r w:rsidRPr="003A12DA">
              <w:rPr>
                <w:b/>
                <w:color w:val="000000" w:themeColor="text1"/>
                <w:sz w:val="16"/>
                <w:szCs w:val="16"/>
              </w:rPr>
              <w:t>stop</w:t>
            </w:r>
            <w:r w:rsidRPr="003A12DA">
              <w:rPr>
                <w:color w:val="000000" w:themeColor="text1"/>
                <w:sz w:val="16"/>
                <w:szCs w:val="16"/>
              </w:rPr>
              <w:t xml:space="preserve"> the activity. </w:t>
            </w:r>
          </w:p>
          <w:p w14:paraId="3A9FA7EF" w14:textId="77777777" w:rsidR="00A40630" w:rsidRPr="003A12DA" w:rsidRDefault="00A40630" w:rsidP="00C178D9">
            <w:pPr>
              <w:rPr>
                <w:color w:val="000000" w:themeColor="text1"/>
                <w:sz w:val="16"/>
                <w:szCs w:val="16"/>
              </w:rPr>
            </w:pPr>
          </w:p>
          <w:p w14:paraId="19FA52E5" w14:textId="77777777" w:rsidR="00A40630" w:rsidRPr="003A12DA" w:rsidRDefault="00A40630" w:rsidP="00C178D9">
            <w:pPr>
              <w:rPr>
                <w:color w:val="000000" w:themeColor="text1"/>
                <w:sz w:val="16"/>
                <w:szCs w:val="16"/>
              </w:rPr>
            </w:pPr>
            <w:r w:rsidRPr="003A12DA">
              <w:rPr>
                <w:color w:val="000000" w:themeColor="text1"/>
                <w:sz w:val="16"/>
                <w:szCs w:val="16"/>
              </w:rPr>
              <w:t>This is a great place to add comments which will be used as part of the review.</w:t>
            </w:r>
          </w:p>
        </w:tc>
      </w:tr>
      <w:tr w:rsidR="00A40630" w:rsidRPr="003A12DA" w14:paraId="42BD0157" w14:textId="77777777" w:rsidTr="00AA3D75">
        <w:trPr>
          <w:trHeight w:val="533"/>
        </w:trPr>
        <w:tc>
          <w:tcPr>
            <w:tcW w:w="2840" w:type="dxa"/>
            <w:shd w:val="clear" w:color="auto" w:fill="auto"/>
          </w:tcPr>
          <w:p w14:paraId="50343D2D" w14:textId="7416AA15" w:rsidR="00A40630" w:rsidRPr="00835540" w:rsidRDefault="0039677B" w:rsidP="00835540">
            <w:pPr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b/>
                <w:bCs/>
                <w:color w:val="365F91" w:themeColor="accent1" w:themeShade="BF"/>
                <w:sz w:val="18"/>
                <w:szCs w:val="18"/>
              </w:rPr>
              <w:t>Water</w:t>
            </w: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 - slips</w:t>
            </w:r>
          </w:p>
        </w:tc>
        <w:tc>
          <w:tcPr>
            <w:tcW w:w="1556" w:type="dxa"/>
            <w:shd w:val="clear" w:color="auto" w:fill="auto"/>
          </w:tcPr>
          <w:p w14:paraId="7F1BB891" w14:textId="77777777" w:rsidR="00A40630" w:rsidRPr="00835540" w:rsidRDefault="00A40630" w:rsidP="00835540">
            <w:pPr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All present</w:t>
            </w:r>
          </w:p>
        </w:tc>
        <w:tc>
          <w:tcPr>
            <w:tcW w:w="6939" w:type="dxa"/>
            <w:shd w:val="clear" w:color="auto" w:fill="auto"/>
          </w:tcPr>
          <w:p w14:paraId="296E1A36" w14:textId="37652098" w:rsidR="004445F4" w:rsidRPr="00835540" w:rsidRDefault="0039677B" w:rsidP="00835540">
            <w:pPr>
              <w:spacing w:before="100" w:beforeAutospacing="1" w:after="100" w:afterAutospacing="1"/>
              <w:ind w:left="96"/>
              <w:contextualSpacing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Everyone reminded that they MUST walk around the poolside</w:t>
            </w:r>
            <w:r w:rsidR="00835540"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.</w:t>
            </w:r>
          </w:p>
        </w:tc>
        <w:tc>
          <w:tcPr>
            <w:tcW w:w="4116" w:type="dxa"/>
            <w:shd w:val="clear" w:color="auto" w:fill="auto"/>
          </w:tcPr>
          <w:p w14:paraId="7FF05A16" w14:textId="77777777" w:rsidR="00A40630" w:rsidRPr="003A12DA" w:rsidRDefault="00A40630" w:rsidP="00835540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40630" w:rsidRPr="003A12DA" w14:paraId="69FE6AC4" w14:textId="77777777" w:rsidTr="00835540">
        <w:trPr>
          <w:trHeight w:val="1435"/>
        </w:trPr>
        <w:tc>
          <w:tcPr>
            <w:tcW w:w="2840" w:type="dxa"/>
            <w:shd w:val="clear" w:color="auto" w:fill="auto"/>
          </w:tcPr>
          <w:p w14:paraId="352703E8" w14:textId="5C9B82AD" w:rsidR="00A40630" w:rsidRPr="00835540" w:rsidRDefault="00A64D50" w:rsidP="00835540">
            <w:pPr>
              <w:rPr>
                <w:rFonts w:ascii="Nunito Sans Normal" w:hAnsi="Nunito Sans Norm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b/>
                <w:bCs/>
                <w:color w:val="365F91" w:themeColor="accent1" w:themeShade="BF"/>
                <w:sz w:val="18"/>
                <w:szCs w:val="18"/>
              </w:rPr>
              <w:t xml:space="preserve">Water - </w:t>
            </w: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drowning</w:t>
            </w:r>
          </w:p>
        </w:tc>
        <w:tc>
          <w:tcPr>
            <w:tcW w:w="1556" w:type="dxa"/>
            <w:shd w:val="clear" w:color="auto" w:fill="auto"/>
          </w:tcPr>
          <w:p w14:paraId="34CDB964" w14:textId="3321826A" w:rsidR="00A40630" w:rsidRPr="00835540" w:rsidRDefault="00190068" w:rsidP="00835540">
            <w:pPr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All present</w:t>
            </w:r>
          </w:p>
        </w:tc>
        <w:tc>
          <w:tcPr>
            <w:tcW w:w="6939" w:type="dxa"/>
            <w:shd w:val="clear" w:color="auto" w:fill="auto"/>
          </w:tcPr>
          <w:p w14:paraId="2EB60724" w14:textId="77777777" w:rsidR="00835540" w:rsidRDefault="00835540" w:rsidP="00835540">
            <w:pPr>
              <w:spacing w:before="100" w:beforeAutospacing="1" w:after="100" w:afterAutospacing="1"/>
              <w:ind w:left="96"/>
              <w:contextualSpacing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Ensure correct </w:t>
            </w:r>
            <w:proofErr w:type="spellStart"/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adult:child</w:t>
            </w:r>
            <w:proofErr w:type="spellEnd"/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 ratio designated by the pool is followed.</w:t>
            </w:r>
          </w:p>
          <w:p w14:paraId="16B027C3" w14:textId="491E692F" w:rsidR="00236E22" w:rsidRPr="00835540" w:rsidRDefault="00236E22" w:rsidP="00835540">
            <w:pPr>
              <w:spacing w:before="100" w:beforeAutospacing="1" w:after="100" w:afterAutospacing="1"/>
              <w:ind w:left="96"/>
              <w:contextualSpacing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Only go to a pool that provides lifeguards</w:t>
            </w:r>
            <w:r w:rsidR="00835540"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 unless you have lifeguards with correct qualifications</w:t>
            </w:r>
          </w:p>
          <w:p w14:paraId="4D287E27" w14:textId="491FEF26" w:rsidR="00A64D50" w:rsidRPr="00835540" w:rsidRDefault="001D155F" w:rsidP="00835540">
            <w:pPr>
              <w:spacing w:before="100" w:beforeAutospacing="1" w:after="100" w:afterAutospacing="1"/>
              <w:ind w:left="96"/>
              <w:contextualSpacing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Volunteers</w:t>
            </w:r>
            <w:r w:rsidR="00A64D50"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 should find out non-swimmers before the event</w:t>
            </w:r>
          </w:p>
          <w:p w14:paraId="2CA8425F" w14:textId="77777777" w:rsidR="00A64D50" w:rsidRPr="00835540" w:rsidRDefault="00236E22" w:rsidP="00835540">
            <w:pPr>
              <w:spacing w:before="100" w:beforeAutospacing="1" w:after="100" w:afterAutospacing="1"/>
              <w:ind w:left="96"/>
              <w:contextualSpacing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Everyone reminded that they MUST walk around the poolside</w:t>
            </w:r>
          </w:p>
          <w:p w14:paraId="22CF5C78" w14:textId="6599B9AB" w:rsidR="00236E22" w:rsidRPr="00835540" w:rsidRDefault="00236E22" w:rsidP="00835540">
            <w:pPr>
              <w:spacing w:before="100" w:beforeAutospacing="1" w:after="100" w:afterAutospacing="1"/>
              <w:ind w:left="96"/>
              <w:contextualSpacing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There should be at least 2 adults in the water with Scouts</w:t>
            </w:r>
            <w:r w:rsidR="000674AB"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 section</w:t>
            </w:r>
          </w:p>
          <w:p w14:paraId="06DBD4CC" w14:textId="593595E3" w:rsidR="000674AB" w:rsidRPr="00835540" w:rsidRDefault="000674AB" w:rsidP="00835540">
            <w:pPr>
              <w:spacing w:before="100" w:beforeAutospacing="1" w:after="100" w:afterAutospacing="1"/>
              <w:ind w:left="96"/>
              <w:contextualSpacing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Abide by pool </w:t>
            </w:r>
            <w:r w:rsidR="001A3F22"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safety </w:t>
            </w: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rules </w:t>
            </w:r>
            <w:proofErr w:type="spellStart"/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eg</w:t>
            </w:r>
            <w:proofErr w:type="spellEnd"/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 no ducking</w:t>
            </w:r>
            <w:r w:rsidR="001A3F22"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; no bombing etc</w:t>
            </w:r>
          </w:p>
          <w:p w14:paraId="69A92C3D" w14:textId="228CC701" w:rsidR="001A3F22" w:rsidRPr="00835540" w:rsidRDefault="001A3F22" w:rsidP="00835540">
            <w:pPr>
              <w:spacing w:before="100" w:beforeAutospacing="1" w:after="100" w:afterAutospacing="1"/>
              <w:ind w:left="96"/>
              <w:contextualSpacing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Non-swimmers should not go out of their depth</w:t>
            </w:r>
          </w:p>
        </w:tc>
        <w:tc>
          <w:tcPr>
            <w:tcW w:w="4116" w:type="dxa"/>
            <w:shd w:val="clear" w:color="auto" w:fill="auto"/>
          </w:tcPr>
          <w:p w14:paraId="1A131AF8" w14:textId="77777777" w:rsidR="00A40630" w:rsidRPr="003A12DA" w:rsidRDefault="00A40630" w:rsidP="00835540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40630" w:rsidRPr="003A12DA" w14:paraId="5B95E592" w14:textId="77777777" w:rsidTr="00AA3D75">
        <w:trPr>
          <w:trHeight w:val="676"/>
        </w:trPr>
        <w:tc>
          <w:tcPr>
            <w:tcW w:w="2840" w:type="dxa"/>
            <w:shd w:val="clear" w:color="auto" w:fill="auto"/>
          </w:tcPr>
          <w:p w14:paraId="6052D6C4" w14:textId="239E0E3F" w:rsidR="00A40630" w:rsidRPr="00835540" w:rsidRDefault="00974893" w:rsidP="00835540">
            <w:pPr>
              <w:rPr>
                <w:rFonts w:ascii="Nunito Sans Normal" w:hAnsi="Nunito Sans Norm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b/>
                <w:bCs/>
                <w:color w:val="365F91" w:themeColor="accent1" w:themeShade="BF"/>
                <w:sz w:val="18"/>
                <w:szCs w:val="18"/>
              </w:rPr>
              <w:t>Safeguarding</w:t>
            </w:r>
            <w:r w:rsidR="00F966A3" w:rsidRPr="00835540">
              <w:rPr>
                <w:rFonts w:ascii="Nunito Sans Normal" w:hAnsi="Nunito Sans Normal"/>
                <w:b/>
                <w:bCs/>
                <w:color w:val="365F91" w:themeColor="accent1" w:themeShade="BF"/>
                <w:sz w:val="18"/>
                <w:szCs w:val="18"/>
              </w:rPr>
              <w:t xml:space="preserve"> – </w:t>
            </w:r>
            <w:r w:rsidR="00F966A3"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members of public</w:t>
            </w:r>
          </w:p>
        </w:tc>
        <w:tc>
          <w:tcPr>
            <w:tcW w:w="1556" w:type="dxa"/>
            <w:shd w:val="clear" w:color="auto" w:fill="auto"/>
          </w:tcPr>
          <w:p w14:paraId="6505F6D1" w14:textId="0A2DEB95" w:rsidR="00A40630" w:rsidRPr="00835540" w:rsidRDefault="00A40630" w:rsidP="00835540">
            <w:pPr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939" w:type="dxa"/>
            <w:shd w:val="clear" w:color="auto" w:fill="auto"/>
          </w:tcPr>
          <w:p w14:paraId="23C97858" w14:textId="0C88F659" w:rsidR="00A40630" w:rsidRDefault="00974893" w:rsidP="00835540">
            <w:pPr>
              <w:ind w:left="97"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YP to go into their chosen gender changing room</w:t>
            </w:r>
          </w:p>
          <w:p w14:paraId="4FEA8433" w14:textId="69389942" w:rsidR="00835540" w:rsidRPr="00835540" w:rsidRDefault="00835540" w:rsidP="00835540">
            <w:pPr>
              <w:ind w:left="97"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2 adults of the same gender should go in appropriate changing areas with YP</w:t>
            </w:r>
          </w:p>
          <w:p w14:paraId="57140A14" w14:textId="01955198" w:rsidR="00974893" w:rsidRPr="00835540" w:rsidRDefault="00974893" w:rsidP="00835540">
            <w:pPr>
              <w:ind w:left="97"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YP encouraged to use a cubicle if they wish and are available</w:t>
            </w:r>
          </w:p>
          <w:p w14:paraId="5867EB5D" w14:textId="506233C2" w:rsidR="00F966A3" w:rsidRPr="00835540" w:rsidRDefault="00F966A3" w:rsidP="00835540">
            <w:pPr>
              <w:ind w:left="97"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YP encouraged to get changed quickly</w:t>
            </w:r>
          </w:p>
          <w:p w14:paraId="4533ECCC" w14:textId="77777777" w:rsidR="00974893" w:rsidRPr="00835540" w:rsidRDefault="00974893" w:rsidP="00835540">
            <w:pPr>
              <w:ind w:left="97"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All Scouting safeguarding guidelines to be followed</w:t>
            </w:r>
          </w:p>
          <w:p w14:paraId="4C4865D7" w14:textId="43C70145" w:rsidR="00F966A3" w:rsidRPr="00835540" w:rsidRDefault="00F966A3" w:rsidP="00835540">
            <w:pPr>
              <w:ind w:left="97"/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</w:pP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Adult </w:t>
            </w:r>
            <w:r w:rsidR="001D155F"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>volunteers</w:t>
            </w:r>
            <w:r w:rsidRPr="00835540">
              <w:rPr>
                <w:rFonts w:ascii="Nunito Sans Normal" w:hAnsi="Nunito Sans Normal"/>
                <w:color w:val="365F91" w:themeColor="accent1" w:themeShade="BF"/>
                <w:sz w:val="18"/>
                <w:szCs w:val="18"/>
              </w:rPr>
              <w:t xml:space="preserve"> to use cubicles where available</w:t>
            </w:r>
          </w:p>
        </w:tc>
        <w:tc>
          <w:tcPr>
            <w:tcW w:w="4116" w:type="dxa"/>
            <w:shd w:val="clear" w:color="auto" w:fill="auto"/>
          </w:tcPr>
          <w:p w14:paraId="1077B636" w14:textId="77777777" w:rsidR="00A40630" w:rsidRPr="003A12DA" w:rsidRDefault="00A40630" w:rsidP="00835540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40630" w:rsidRPr="003A12DA" w14:paraId="1F217DF7" w14:textId="77777777" w:rsidTr="00AA3D75">
        <w:trPr>
          <w:trHeight w:val="676"/>
        </w:trPr>
        <w:tc>
          <w:tcPr>
            <w:tcW w:w="2840" w:type="dxa"/>
            <w:shd w:val="clear" w:color="auto" w:fill="auto"/>
          </w:tcPr>
          <w:p w14:paraId="0D99D7DC" w14:textId="30A1CF83" w:rsidR="00A40630" w:rsidRPr="00D30805" w:rsidRDefault="00A40630" w:rsidP="00C178D9">
            <w:pPr>
              <w:rPr>
                <w:rFonts w:ascii="Nunito Sans" w:hAnsi="Nunito Sans"/>
                <w:bCs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61FACF8A" w14:textId="54B376DE" w:rsidR="00A40630" w:rsidRPr="00A40630" w:rsidRDefault="00A40630" w:rsidP="00C178D9">
            <w:pPr>
              <w:rPr>
                <w:rFonts w:ascii="Nunito Sans" w:hAnsi="Nunito Sans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6939" w:type="dxa"/>
            <w:shd w:val="clear" w:color="auto" w:fill="auto"/>
          </w:tcPr>
          <w:p w14:paraId="6A91B5C7" w14:textId="06F2889C" w:rsidR="00190068" w:rsidRPr="00A64D50" w:rsidRDefault="00190068" w:rsidP="00F966A3">
            <w:pPr>
              <w:pStyle w:val="ListParagraph"/>
              <w:numPr>
                <w:ilvl w:val="0"/>
                <w:numId w:val="0"/>
              </w:numPr>
              <w:ind w:left="457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6" w:type="dxa"/>
            <w:shd w:val="clear" w:color="auto" w:fill="auto"/>
          </w:tcPr>
          <w:p w14:paraId="72F79524" w14:textId="77777777" w:rsidR="00A40630" w:rsidRPr="003A12DA" w:rsidRDefault="00A40630" w:rsidP="00C178D9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40630" w:rsidRPr="003A12DA" w14:paraId="7FC75433" w14:textId="77777777" w:rsidTr="00AA3D75">
        <w:trPr>
          <w:trHeight w:val="676"/>
        </w:trPr>
        <w:tc>
          <w:tcPr>
            <w:tcW w:w="2840" w:type="dxa"/>
            <w:shd w:val="clear" w:color="auto" w:fill="auto"/>
          </w:tcPr>
          <w:p w14:paraId="62EA382E" w14:textId="0CF774F7" w:rsidR="00A40630" w:rsidRPr="00E122A2" w:rsidRDefault="00A40630" w:rsidP="00C178D9">
            <w:pPr>
              <w:rPr>
                <w:rFonts w:eastAsia="Calibri" w:cs="Calibri"/>
                <w:b/>
                <w:bCs/>
                <w:color w:val="365F91" w:themeColor="accent1" w:themeShade="BF"/>
                <w:sz w:val="16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4E7A398A" w14:textId="638C117F" w:rsidR="00A40630" w:rsidRPr="00E122A2" w:rsidRDefault="00A40630" w:rsidP="00C178D9">
            <w:pPr>
              <w:rPr>
                <w:rFonts w:eastAsia="Calibri" w:cs="Calibri"/>
                <w:color w:val="365F91" w:themeColor="accent1" w:themeShade="BF"/>
                <w:sz w:val="16"/>
                <w:szCs w:val="18"/>
              </w:rPr>
            </w:pPr>
          </w:p>
        </w:tc>
        <w:tc>
          <w:tcPr>
            <w:tcW w:w="6939" w:type="dxa"/>
            <w:shd w:val="clear" w:color="auto" w:fill="auto"/>
          </w:tcPr>
          <w:p w14:paraId="3B25C047" w14:textId="1CF625CF" w:rsidR="00A40630" w:rsidRPr="00A64D50" w:rsidRDefault="00A40630" w:rsidP="00F966A3">
            <w:pPr>
              <w:pStyle w:val="ListParagraph"/>
              <w:numPr>
                <w:ilvl w:val="0"/>
                <w:numId w:val="0"/>
              </w:numPr>
              <w:ind w:left="457"/>
              <w:rPr>
                <w:rFonts w:eastAsia="Calibri" w:cs="Calibri"/>
                <w:color w:val="365F91" w:themeColor="accent1" w:themeShade="BF"/>
                <w:sz w:val="16"/>
                <w:szCs w:val="18"/>
              </w:rPr>
            </w:pPr>
          </w:p>
        </w:tc>
        <w:tc>
          <w:tcPr>
            <w:tcW w:w="4116" w:type="dxa"/>
            <w:shd w:val="clear" w:color="auto" w:fill="auto"/>
          </w:tcPr>
          <w:p w14:paraId="324E455A" w14:textId="77777777" w:rsidR="00A40630" w:rsidRPr="003A12DA" w:rsidRDefault="00A40630" w:rsidP="00C178D9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F5FCF67" w14:textId="77777777" w:rsidR="005E5DF3" w:rsidRPr="002F4A9D" w:rsidRDefault="005E5DF3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sectPr w:rsidR="005E5DF3" w:rsidRPr="002F4A9D" w:rsidSect="00BE0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979" w:right="567" w:bottom="720" w:left="567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3614" w14:textId="77777777" w:rsidR="001A225B" w:rsidRDefault="001A225B">
      <w:r>
        <w:separator/>
      </w:r>
    </w:p>
  </w:endnote>
  <w:endnote w:type="continuationSeparator" w:id="0">
    <w:p w14:paraId="41DF03D8" w14:textId="77777777" w:rsidR="001A225B" w:rsidRDefault="001A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00"/>
    <w:family w:val="auto"/>
    <w:pitch w:val="variable"/>
    <w:sig w:usb0="00000001" w:usb1="00000001" w:usb2="00000000" w:usb3="00000000" w:csb0="00000193" w:csb1="00000000"/>
  </w:font>
  <w:font w:name="Nunito Sans Normal">
    <w:altName w:val="Nunito Sans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9E45F" w14:textId="77777777" w:rsidR="001A3058" w:rsidRDefault="001A3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07E3" w14:textId="41C8F795" w:rsidR="00A40630" w:rsidRDefault="00A40630">
    <w:pPr>
      <w:pStyle w:val="Footer"/>
    </w:pPr>
    <w:r w:rsidRPr="00830CD9">
      <w:rPr>
        <w:rFonts w:ascii="Nunito Sans Black" w:hAnsi="Nunito Sans Black"/>
        <w:b/>
        <w:bCs/>
        <w:i/>
        <w:iCs/>
        <w:noProof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0B52DFC4" wp14:editId="4D721D06">
          <wp:simplePos x="0" y="0"/>
          <wp:positionH relativeFrom="column">
            <wp:posOffset>9037232</wp:posOffset>
          </wp:positionH>
          <wp:positionV relativeFrom="paragraph">
            <wp:posOffset>-753947</wp:posOffset>
          </wp:positionV>
          <wp:extent cx="1049655" cy="1015365"/>
          <wp:effectExtent l="0" t="0" r="4445" b="635"/>
          <wp:wrapTight wrapText="bothSides">
            <wp:wrapPolygon edited="0">
              <wp:start x="0" y="0"/>
              <wp:lineTo x="0" y="21343"/>
              <wp:lineTo x="21430" y="21343"/>
              <wp:lineTo x="21430" y="0"/>
              <wp:lineTo x="0" y="0"/>
            </wp:wrapPolygon>
          </wp:wrapTight>
          <wp:docPr id="1" name="Picture 1" descr="../../../Pictures/Photos%20Library.photoslibrary/Masters/2018/06/18/20180618-205446/32498286_10156402553319764_892435740154973388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Pictures/Photos%20Library.photoslibrary/Masters/2018/06/18/20180618-205446/32498286_10156402553319764_8924357401549733888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47E0" w14:textId="77777777" w:rsidR="001A3058" w:rsidRDefault="001A3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60F1" w14:textId="77777777" w:rsidR="001A225B" w:rsidRDefault="001A225B">
      <w:r>
        <w:separator/>
      </w:r>
    </w:p>
  </w:footnote>
  <w:footnote w:type="continuationSeparator" w:id="0">
    <w:p w14:paraId="61A3888E" w14:textId="77777777" w:rsidR="001A225B" w:rsidRDefault="001A2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BD8E" w14:textId="77777777" w:rsidR="001A3058" w:rsidRDefault="001A3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987A" w14:textId="41C98B8F" w:rsidR="005E5DF3" w:rsidRDefault="001A3058" w:rsidP="00A40630">
    <w:pPr>
      <w:pStyle w:val="HeaderFooter"/>
      <w:tabs>
        <w:tab w:val="clear" w:pos="9020"/>
        <w:tab w:val="left" w:pos="7446"/>
      </w:tabs>
      <w:rPr>
        <w:rFonts w:ascii="Nunito Sans Black" w:hAnsi="Nunito Sans Black"/>
        <w:b/>
        <w:bCs/>
        <w:i/>
        <w:iCs/>
        <w:sz w:val="36"/>
      </w:rPr>
    </w:pPr>
    <w:r>
      <w:rPr>
        <w:rFonts w:ascii="Nunito Sans Black" w:hAnsi="Nunito Sans Black"/>
        <w:b/>
        <w:bCs/>
        <w:i/>
        <w:iCs/>
        <w:noProof/>
        <w:sz w:val="36"/>
      </w:rPr>
      <w:drawing>
        <wp:anchor distT="0" distB="0" distL="114300" distR="114300" simplePos="0" relativeHeight="251661312" behindDoc="1" locked="0" layoutInCell="1" allowOverlap="1" wp14:anchorId="6BFBCA88" wp14:editId="1A15640D">
          <wp:simplePos x="0" y="0"/>
          <wp:positionH relativeFrom="column">
            <wp:posOffset>8244840</wp:posOffset>
          </wp:positionH>
          <wp:positionV relativeFrom="paragraph">
            <wp:posOffset>-274320</wp:posOffset>
          </wp:positionV>
          <wp:extent cx="1517648" cy="689348"/>
          <wp:effectExtent l="0" t="0" r="0" b="0"/>
          <wp:wrapTight wrapText="bothSides">
            <wp:wrapPolygon edited="0">
              <wp:start x="16455" y="2389"/>
              <wp:lineTo x="1447" y="7167"/>
              <wp:lineTo x="1447" y="15926"/>
              <wp:lineTo x="1808" y="17917"/>
              <wp:lineTo x="8318" y="17917"/>
              <wp:lineTo x="9041" y="17121"/>
              <wp:lineTo x="16998" y="14732"/>
              <wp:lineTo x="18987" y="11547"/>
              <wp:lineTo x="18264" y="9556"/>
              <wp:lineTo x="19891" y="9556"/>
              <wp:lineTo x="19710" y="7565"/>
              <wp:lineTo x="17179" y="2389"/>
              <wp:lineTo x="16455" y="2389"/>
            </wp:wrapPolygon>
          </wp:wrapTight>
          <wp:docPr id="6795506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550666" name="Picture 679550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48" cy="689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CD9" w:rsidRPr="00830CD9">
      <w:rPr>
        <w:rFonts w:ascii="Nunito Sans Black" w:hAnsi="Nunito Sans Black"/>
        <w:b/>
        <w:bCs/>
        <w:i/>
        <w:iCs/>
        <w:sz w:val="36"/>
      </w:rPr>
      <w:t>RISK ASSESSMENT FORM</w:t>
    </w:r>
  </w:p>
  <w:p w14:paraId="1F8A7F7E" w14:textId="4B55DCEA" w:rsidR="00830CD9" w:rsidRPr="00830CD9" w:rsidRDefault="00830CD9" w:rsidP="00830CD9">
    <w:pPr>
      <w:pStyle w:val="HeaderFooter"/>
      <w:tabs>
        <w:tab w:val="clear" w:pos="9020"/>
      </w:tabs>
      <w:rPr>
        <w:rFonts w:ascii="Nunito Sans" w:hAnsi="Nunito Sans"/>
        <w:color w:val="00B0F0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0AEF" w14:textId="77777777" w:rsidR="001A3058" w:rsidRDefault="001A3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4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53984920">
    <w:abstractNumId w:val="3"/>
  </w:num>
  <w:num w:numId="2" w16cid:durableId="1633756372">
    <w:abstractNumId w:val="0"/>
  </w:num>
  <w:num w:numId="3" w16cid:durableId="2119567821">
    <w:abstractNumId w:val="4"/>
  </w:num>
  <w:num w:numId="4" w16cid:durableId="986399816">
    <w:abstractNumId w:val="2"/>
  </w:num>
  <w:num w:numId="5" w16cid:durableId="1925187497">
    <w:abstractNumId w:val="5"/>
  </w:num>
  <w:num w:numId="6" w16cid:durableId="128052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337DF"/>
    <w:rsid w:val="00061158"/>
    <w:rsid w:val="000674AB"/>
    <w:rsid w:val="000A28C1"/>
    <w:rsid w:val="000C17A8"/>
    <w:rsid w:val="000F7887"/>
    <w:rsid w:val="00135C83"/>
    <w:rsid w:val="0014726D"/>
    <w:rsid w:val="00170BA2"/>
    <w:rsid w:val="00190068"/>
    <w:rsid w:val="001A225B"/>
    <w:rsid w:val="001A3058"/>
    <w:rsid w:val="001A3F22"/>
    <w:rsid w:val="001D155F"/>
    <w:rsid w:val="001D2241"/>
    <w:rsid w:val="00236E22"/>
    <w:rsid w:val="00291F4F"/>
    <w:rsid w:val="002F4A9D"/>
    <w:rsid w:val="003548A1"/>
    <w:rsid w:val="0038012F"/>
    <w:rsid w:val="00381361"/>
    <w:rsid w:val="0039677B"/>
    <w:rsid w:val="003E4662"/>
    <w:rsid w:val="003F16F5"/>
    <w:rsid w:val="004030A0"/>
    <w:rsid w:val="0044034F"/>
    <w:rsid w:val="004445F4"/>
    <w:rsid w:val="00467449"/>
    <w:rsid w:val="005E5DF3"/>
    <w:rsid w:val="00684008"/>
    <w:rsid w:val="006C561D"/>
    <w:rsid w:val="006D67FB"/>
    <w:rsid w:val="00713253"/>
    <w:rsid w:val="00734F70"/>
    <w:rsid w:val="007A3A72"/>
    <w:rsid w:val="007C292B"/>
    <w:rsid w:val="007C40ED"/>
    <w:rsid w:val="00803281"/>
    <w:rsid w:val="00830CD9"/>
    <w:rsid w:val="00835540"/>
    <w:rsid w:val="009423B7"/>
    <w:rsid w:val="00974893"/>
    <w:rsid w:val="009E5A32"/>
    <w:rsid w:val="00A40630"/>
    <w:rsid w:val="00A64D50"/>
    <w:rsid w:val="00A87C01"/>
    <w:rsid w:val="00AA3D75"/>
    <w:rsid w:val="00AD06F7"/>
    <w:rsid w:val="00AD10FA"/>
    <w:rsid w:val="00AD53C3"/>
    <w:rsid w:val="00B02C50"/>
    <w:rsid w:val="00B11867"/>
    <w:rsid w:val="00B26EAB"/>
    <w:rsid w:val="00B3128D"/>
    <w:rsid w:val="00B35E02"/>
    <w:rsid w:val="00BE02A2"/>
    <w:rsid w:val="00BF48E2"/>
    <w:rsid w:val="00C83C4F"/>
    <w:rsid w:val="00CA4368"/>
    <w:rsid w:val="00CB599F"/>
    <w:rsid w:val="00CB6088"/>
    <w:rsid w:val="00CD3BA1"/>
    <w:rsid w:val="00D17D3D"/>
    <w:rsid w:val="00D30805"/>
    <w:rsid w:val="00D4270F"/>
    <w:rsid w:val="00D50B2C"/>
    <w:rsid w:val="00D7439E"/>
    <w:rsid w:val="00DC169A"/>
    <w:rsid w:val="00E37D87"/>
    <w:rsid w:val="00E80533"/>
    <w:rsid w:val="00E842C6"/>
    <w:rsid w:val="00F01713"/>
    <w:rsid w:val="00F314BD"/>
    <w:rsid w:val="00F5347C"/>
    <w:rsid w:val="00F94BFF"/>
    <w:rsid w:val="00F966A3"/>
    <w:rsid w:val="00FC4E78"/>
    <w:rsid w:val="00FD0B52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8</cp:revision>
  <cp:lastPrinted>2018-07-05T14:00:00Z</cp:lastPrinted>
  <dcterms:created xsi:type="dcterms:W3CDTF">2021-06-16T22:47:00Z</dcterms:created>
  <dcterms:modified xsi:type="dcterms:W3CDTF">2025-02-02T19:19:00Z</dcterms:modified>
</cp:coreProperties>
</file>